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CC" w:rsidRDefault="003B51CC" w:rsidP="003B51CC">
      <w:pPr>
        <w:jc w:val="center"/>
        <w:rPr>
          <w:rFonts w:cs="Arial"/>
          <w:b/>
        </w:rPr>
      </w:pPr>
      <w:r w:rsidRPr="00745D1B">
        <w:rPr>
          <w:rFonts w:cs="Arial"/>
          <w:b/>
        </w:rPr>
        <w:t>Forth Ports L</w:t>
      </w:r>
      <w:r>
        <w:rPr>
          <w:rFonts w:cs="Arial"/>
          <w:b/>
        </w:rPr>
        <w:t>imi</w:t>
      </w:r>
      <w:r w:rsidRPr="00745D1B">
        <w:rPr>
          <w:rFonts w:cs="Arial"/>
          <w:b/>
        </w:rPr>
        <w:t>t</w:t>
      </w:r>
      <w:r>
        <w:rPr>
          <w:rFonts w:cs="Arial"/>
          <w:b/>
        </w:rPr>
        <w:t>e</w:t>
      </w:r>
      <w:r w:rsidRPr="00745D1B">
        <w:rPr>
          <w:rFonts w:cs="Arial"/>
          <w:b/>
        </w:rPr>
        <w:t>d</w:t>
      </w:r>
      <w:r>
        <w:rPr>
          <w:rFonts w:cs="Arial"/>
          <w:b/>
        </w:rPr>
        <w:t>.</w:t>
      </w:r>
      <w:r w:rsidRPr="00745D1B">
        <w:rPr>
          <w:rFonts w:cs="Arial"/>
          <w:b/>
        </w:rPr>
        <w:t xml:space="preserve"> </w:t>
      </w:r>
    </w:p>
    <w:p w:rsidR="003B51CC" w:rsidRPr="003C4E9C" w:rsidRDefault="003B51CC" w:rsidP="003B51CC">
      <w:pPr>
        <w:jc w:val="center"/>
        <w:rPr>
          <w:rFonts w:cs="Arial"/>
          <w:b/>
        </w:rPr>
      </w:pPr>
    </w:p>
    <w:p w:rsidR="003B51CC" w:rsidRPr="003C4E9C" w:rsidRDefault="003B51CC" w:rsidP="003B51CC">
      <w:pPr>
        <w:jc w:val="center"/>
        <w:rPr>
          <w:rFonts w:cs="Arial"/>
          <w:b/>
        </w:rPr>
      </w:pPr>
      <w:r w:rsidRPr="003C4E9C">
        <w:rPr>
          <w:rFonts w:cs="Arial"/>
          <w:b/>
        </w:rPr>
        <w:t>MARINE (SCOTLAND) ACT 2010</w:t>
      </w:r>
    </w:p>
    <w:p w:rsidR="003B51CC" w:rsidRPr="003C4E9C" w:rsidRDefault="003B51CC" w:rsidP="003B51CC">
      <w:pPr>
        <w:jc w:val="center"/>
        <w:rPr>
          <w:rFonts w:cs="Arial"/>
          <w:b/>
        </w:rPr>
      </w:pPr>
    </w:p>
    <w:p w:rsidR="003B51CC" w:rsidRPr="003C4E9C" w:rsidRDefault="003B51CC" w:rsidP="003B51CC">
      <w:pPr>
        <w:jc w:val="center"/>
        <w:rPr>
          <w:rFonts w:cs="Arial"/>
          <w:b/>
        </w:rPr>
      </w:pPr>
      <w:r w:rsidRPr="003C4E9C">
        <w:rPr>
          <w:rFonts w:cs="Arial"/>
          <w:b/>
        </w:rPr>
        <w:t xml:space="preserve">THE MARINE WORKS (ENVIRONMENTAL IMPACT ASSESSMENT) (SCOTLAND) REGULATIONS 2017 </w:t>
      </w:r>
    </w:p>
    <w:p w:rsidR="003B51CC" w:rsidRPr="003C4E9C" w:rsidRDefault="003B51CC" w:rsidP="003B51CC">
      <w:pPr>
        <w:jc w:val="center"/>
        <w:rPr>
          <w:rFonts w:cs="Arial"/>
          <w:b/>
        </w:rPr>
      </w:pPr>
    </w:p>
    <w:p w:rsidR="003B51CC" w:rsidRDefault="003B51CC" w:rsidP="003B51CC">
      <w:pPr>
        <w:jc w:val="both"/>
        <w:rPr>
          <w:rFonts w:cs="Arial"/>
        </w:rPr>
      </w:pPr>
      <w:r w:rsidRPr="003C4E9C">
        <w:rPr>
          <w:rFonts w:cs="Arial"/>
        </w:rPr>
        <w:t xml:space="preserve">Notice is hereby given that </w:t>
      </w:r>
      <w:r>
        <w:rPr>
          <w:rFonts w:cs="Arial"/>
        </w:rPr>
        <w:t xml:space="preserve">Forth Ports Limited, Carron House, Central Dock Road, Grangemouth, </w:t>
      </w:r>
      <w:proofErr w:type="spellStart"/>
      <w:r>
        <w:rPr>
          <w:rFonts w:cs="Arial"/>
        </w:rPr>
        <w:t>FK3</w:t>
      </w:r>
      <w:proofErr w:type="spellEnd"/>
      <w:r>
        <w:rPr>
          <w:rFonts w:cs="Arial"/>
        </w:rPr>
        <w:t xml:space="preserve"> </w:t>
      </w:r>
      <w:proofErr w:type="spellStart"/>
      <w:r>
        <w:rPr>
          <w:rFonts w:cs="Arial"/>
        </w:rPr>
        <w:t>8TY</w:t>
      </w:r>
      <w:proofErr w:type="spellEnd"/>
      <w:r w:rsidRPr="003C4E9C">
        <w:rPr>
          <w:rFonts w:cs="Arial"/>
        </w:rPr>
        <w:t xml:space="preserve"> have applied to the Scottish Ministers for marine licence</w:t>
      </w:r>
      <w:r>
        <w:rPr>
          <w:rFonts w:cs="Arial"/>
        </w:rPr>
        <w:t>s</w:t>
      </w:r>
      <w:r w:rsidRPr="003C4E9C">
        <w:rPr>
          <w:rFonts w:cs="Arial"/>
        </w:rPr>
        <w:t xml:space="preserve"> under section 20 of the Marine (Scotland) Act 2010 to </w:t>
      </w:r>
      <w:r>
        <w:rPr>
          <w:rFonts w:cs="Arial"/>
        </w:rPr>
        <w:t>carry out construction, capital dredging and deposit of dredge material associated with the improvements to Outer Berth, Port of Leith, coordinates as per below (</w:t>
      </w:r>
      <w:proofErr w:type="spellStart"/>
      <w:r>
        <w:rPr>
          <w:rFonts w:cs="Arial"/>
        </w:rPr>
        <w:t>WGS84</w:t>
      </w:r>
      <w:proofErr w:type="spellEnd"/>
      <w:r>
        <w:rPr>
          <w:rFonts w:cs="Arial"/>
        </w:rPr>
        <w:t>)</w:t>
      </w:r>
    </w:p>
    <w:p w:rsidR="003B51CC" w:rsidRPr="003C4E9C" w:rsidRDefault="003B51CC" w:rsidP="003B51CC">
      <w:pPr>
        <w:jc w:val="both"/>
        <w:rPr>
          <w:rFonts w:cs="Arial"/>
        </w:rPr>
      </w:pPr>
    </w:p>
    <w:p w:rsidR="003B51CC" w:rsidRPr="003C4E9C" w:rsidRDefault="003B51CC" w:rsidP="003B51CC">
      <w:pPr>
        <w:jc w:val="center"/>
        <w:rPr>
          <w:rFonts w:cs="Arial"/>
          <w:b/>
        </w:rPr>
      </w:pPr>
      <w:r>
        <w:rPr>
          <w:rFonts w:cs="Arial"/>
          <w:b/>
        </w:rPr>
        <w:t>Combined Dredge Area</w:t>
      </w:r>
    </w:p>
    <w:tbl>
      <w:tblPr>
        <w:tblW w:w="5568"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084"/>
        <w:gridCol w:w="828"/>
        <w:gridCol w:w="731"/>
        <w:gridCol w:w="1004"/>
        <w:gridCol w:w="1177"/>
      </w:tblGrid>
      <w:tr w:rsidR="003B51CC" w:rsidRPr="003C4E9C" w:rsidTr="00BD44CD">
        <w:trPr>
          <w:trHeight w:val="255"/>
        </w:trPr>
        <w:tc>
          <w:tcPr>
            <w:tcW w:w="2656" w:type="dxa"/>
            <w:gridSpan w:val="3"/>
            <w:shd w:val="clear" w:color="auto" w:fill="auto"/>
            <w:noWrap/>
            <w:vAlign w:val="bottom"/>
            <w:hideMark/>
          </w:tcPr>
          <w:p w:rsidR="003B51CC" w:rsidRPr="003C4E9C" w:rsidRDefault="003B51CC" w:rsidP="00BD44CD">
            <w:pPr>
              <w:jc w:val="center"/>
              <w:rPr>
                <w:rFonts w:cs="Arial"/>
                <w:b/>
              </w:rPr>
            </w:pPr>
            <w:r w:rsidRPr="003C4E9C">
              <w:rPr>
                <w:rFonts w:cs="Arial"/>
                <w:b/>
              </w:rPr>
              <w:t>Latitude</w:t>
            </w:r>
          </w:p>
        </w:tc>
        <w:tc>
          <w:tcPr>
            <w:tcW w:w="2912" w:type="dxa"/>
            <w:gridSpan w:val="3"/>
            <w:shd w:val="clear" w:color="auto" w:fill="auto"/>
            <w:noWrap/>
            <w:vAlign w:val="bottom"/>
            <w:hideMark/>
          </w:tcPr>
          <w:p w:rsidR="003B51CC" w:rsidRPr="003C4E9C" w:rsidRDefault="003B51CC" w:rsidP="00BD44CD">
            <w:pPr>
              <w:jc w:val="center"/>
              <w:rPr>
                <w:rFonts w:cs="Arial"/>
                <w:b/>
              </w:rPr>
            </w:pPr>
            <w:r w:rsidRPr="003C4E9C">
              <w:rPr>
                <w:rFonts w:cs="Arial"/>
                <w:b/>
              </w:rPr>
              <w:t>Longitude</w:t>
            </w:r>
          </w:p>
        </w:tc>
      </w:tr>
      <w:tr w:rsidR="003B51CC" w:rsidRPr="003C4E9C" w:rsidTr="00BD44CD">
        <w:trPr>
          <w:trHeight w:val="255"/>
        </w:trPr>
        <w:tc>
          <w:tcPr>
            <w:tcW w:w="744" w:type="dxa"/>
            <w:shd w:val="clear" w:color="auto" w:fill="auto"/>
            <w:noWrap/>
            <w:vAlign w:val="bottom"/>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59.366’</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vAlign w:val="bottom"/>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vAlign w:val="bottom"/>
          </w:tcPr>
          <w:p w:rsidR="003B51CC" w:rsidRPr="003C4E9C" w:rsidRDefault="003B51CC" w:rsidP="00BD44CD">
            <w:pPr>
              <w:rPr>
                <w:rFonts w:cs="Arial"/>
              </w:rPr>
            </w:pPr>
            <w:r>
              <w:rPr>
                <w:rFonts w:cs="Arial"/>
              </w:rPr>
              <w:t>10.823’</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59.474’</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11.089’</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59.502’</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11.016’</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59.329’</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10.914’</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bl>
    <w:p w:rsidR="003B51CC" w:rsidRDefault="003B51CC" w:rsidP="003B51CC">
      <w:pPr>
        <w:jc w:val="both"/>
        <w:rPr>
          <w:rFonts w:cs="Arial"/>
        </w:rPr>
      </w:pPr>
      <w:r w:rsidRPr="003C4E9C">
        <w:rPr>
          <w:rFonts w:cs="Arial"/>
          <w:b/>
        </w:rPr>
        <w:tab/>
      </w:r>
      <w:r w:rsidRPr="003C4E9C">
        <w:rPr>
          <w:rFonts w:cs="Arial"/>
          <w:b/>
        </w:rPr>
        <w:tab/>
      </w:r>
      <w:r w:rsidRPr="003C4E9C">
        <w:rPr>
          <w:rFonts w:cs="Arial"/>
          <w:b/>
        </w:rPr>
        <w:tab/>
      </w:r>
      <w:r w:rsidRPr="003C4E9C">
        <w:rPr>
          <w:rFonts w:cs="Arial"/>
          <w:b/>
        </w:rPr>
        <w:tab/>
        <w:t xml:space="preserve">         </w:t>
      </w:r>
    </w:p>
    <w:p w:rsidR="003B51CC" w:rsidRPr="003C4E9C" w:rsidRDefault="003B51CC" w:rsidP="003B51CC">
      <w:pPr>
        <w:jc w:val="center"/>
        <w:rPr>
          <w:rFonts w:cs="Arial"/>
          <w:b/>
        </w:rPr>
      </w:pPr>
      <w:r w:rsidRPr="003C4E9C">
        <w:rPr>
          <w:rFonts w:cs="Arial"/>
          <w:b/>
        </w:rPr>
        <w:t xml:space="preserve">Construction Area </w:t>
      </w:r>
    </w:p>
    <w:tbl>
      <w:tblPr>
        <w:tblW w:w="5568"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084"/>
        <w:gridCol w:w="828"/>
        <w:gridCol w:w="731"/>
        <w:gridCol w:w="1004"/>
        <w:gridCol w:w="1177"/>
      </w:tblGrid>
      <w:tr w:rsidR="003B51CC" w:rsidRPr="003C4E9C" w:rsidTr="00BD44CD">
        <w:trPr>
          <w:trHeight w:val="255"/>
        </w:trPr>
        <w:tc>
          <w:tcPr>
            <w:tcW w:w="2656" w:type="dxa"/>
            <w:gridSpan w:val="3"/>
            <w:shd w:val="clear" w:color="auto" w:fill="auto"/>
            <w:noWrap/>
            <w:vAlign w:val="bottom"/>
            <w:hideMark/>
          </w:tcPr>
          <w:p w:rsidR="003B51CC" w:rsidRPr="003C4E9C" w:rsidRDefault="003B51CC" w:rsidP="00BD44CD">
            <w:pPr>
              <w:jc w:val="center"/>
              <w:rPr>
                <w:rFonts w:cs="Arial"/>
                <w:b/>
              </w:rPr>
            </w:pPr>
            <w:r w:rsidRPr="003C4E9C">
              <w:rPr>
                <w:rFonts w:cs="Arial"/>
                <w:b/>
              </w:rPr>
              <w:t>Latitude</w:t>
            </w:r>
          </w:p>
        </w:tc>
        <w:tc>
          <w:tcPr>
            <w:tcW w:w="2912" w:type="dxa"/>
            <w:gridSpan w:val="3"/>
            <w:shd w:val="clear" w:color="auto" w:fill="auto"/>
            <w:noWrap/>
            <w:vAlign w:val="bottom"/>
            <w:hideMark/>
          </w:tcPr>
          <w:p w:rsidR="003B51CC" w:rsidRPr="003C4E9C" w:rsidRDefault="003B51CC" w:rsidP="00BD44CD">
            <w:pPr>
              <w:jc w:val="center"/>
              <w:rPr>
                <w:rFonts w:cs="Arial"/>
                <w:b/>
              </w:rPr>
            </w:pPr>
            <w:r w:rsidRPr="003C4E9C">
              <w:rPr>
                <w:rFonts w:cs="Arial"/>
                <w:b/>
              </w:rPr>
              <w:t>Longitude</w:t>
            </w:r>
          </w:p>
        </w:tc>
      </w:tr>
      <w:tr w:rsidR="003B51CC" w:rsidRPr="003C4E9C" w:rsidTr="00BD44CD">
        <w:trPr>
          <w:trHeight w:val="255"/>
        </w:trPr>
        <w:tc>
          <w:tcPr>
            <w:tcW w:w="744" w:type="dxa"/>
            <w:shd w:val="clear" w:color="auto" w:fill="auto"/>
            <w:noWrap/>
            <w:vAlign w:val="bottom"/>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59.514’</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vAlign w:val="bottom"/>
          </w:tcPr>
          <w:p w:rsidR="003B51CC" w:rsidRPr="003C4E9C" w:rsidRDefault="003B51CC" w:rsidP="00BD44CD">
            <w:pPr>
              <w:rPr>
                <w:rFonts w:cs="Arial"/>
              </w:rPr>
            </w:pPr>
            <w:r w:rsidRPr="003C4E9C">
              <w:rPr>
                <w:rFonts w:cs="Arial"/>
              </w:rPr>
              <w:t>0</w:t>
            </w:r>
            <w:r>
              <w:rPr>
                <w:rFonts w:cs="Arial"/>
              </w:rPr>
              <w:t>3</w:t>
            </w:r>
            <w:r w:rsidRPr="003C4E9C">
              <w:rPr>
                <w:rFonts w:cs="Arial"/>
              </w:rPr>
              <w:t>°</w:t>
            </w:r>
          </w:p>
        </w:tc>
        <w:tc>
          <w:tcPr>
            <w:tcW w:w="1004" w:type="dxa"/>
            <w:shd w:val="clear" w:color="auto" w:fill="auto"/>
            <w:noWrap/>
            <w:vAlign w:val="bottom"/>
          </w:tcPr>
          <w:p w:rsidR="003B51CC" w:rsidRPr="003C4E9C" w:rsidRDefault="003B51CC" w:rsidP="00BD44CD">
            <w:pPr>
              <w:rPr>
                <w:rFonts w:cs="Arial"/>
              </w:rPr>
            </w:pPr>
            <w:r>
              <w:rPr>
                <w:rFonts w:cs="Arial"/>
              </w:rPr>
              <w:t>11.390’</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59.604’</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11.048’</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59.334’</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10.662’</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r w:rsidR="003B51CC" w:rsidRPr="003C4E9C" w:rsidTr="00BD44CD">
        <w:trPr>
          <w:trHeight w:val="255"/>
        </w:trPr>
        <w:tc>
          <w:tcPr>
            <w:tcW w:w="744" w:type="dxa"/>
            <w:shd w:val="clear" w:color="auto" w:fill="auto"/>
            <w:noWrap/>
          </w:tcPr>
          <w:p w:rsidR="003B51CC" w:rsidRPr="003C4E9C" w:rsidRDefault="003B51CC" w:rsidP="00BD44CD">
            <w:pPr>
              <w:rPr>
                <w:rFonts w:cs="Arial"/>
              </w:rPr>
            </w:pPr>
            <w:r w:rsidRPr="003C4E9C">
              <w:rPr>
                <w:rFonts w:cs="Arial"/>
              </w:rPr>
              <w:t>5</w:t>
            </w:r>
            <w:r>
              <w:rPr>
                <w:rFonts w:cs="Arial"/>
              </w:rPr>
              <w:t>5</w:t>
            </w:r>
            <w:r w:rsidRPr="003C4E9C">
              <w:rPr>
                <w:rFonts w:cs="Arial"/>
              </w:rPr>
              <w:t>°</w:t>
            </w:r>
          </w:p>
        </w:tc>
        <w:tc>
          <w:tcPr>
            <w:tcW w:w="1084" w:type="dxa"/>
            <w:shd w:val="clear" w:color="auto" w:fill="auto"/>
            <w:noWrap/>
            <w:vAlign w:val="bottom"/>
          </w:tcPr>
          <w:p w:rsidR="003B51CC" w:rsidRPr="003C4E9C" w:rsidRDefault="003B51CC" w:rsidP="00BD44CD">
            <w:pPr>
              <w:rPr>
                <w:rFonts w:cs="Arial"/>
              </w:rPr>
            </w:pPr>
            <w:r>
              <w:rPr>
                <w:rFonts w:cs="Arial"/>
              </w:rPr>
              <w:t>59.201’</w:t>
            </w:r>
          </w:p>
        </w:tc>
        <w:tc>
          <w:tcPr>
            <w:tcW w:w="828" w:type="dxa"/>
            <w:shd w:val="clear" w:color="auto" w:fill="auto"/>
            <w:noWrap/>
            <w:vAlign w:val="bottom"/>
          </w:tcPr>
          <w:p w:rsidR="003B51CC" w:rsidRPr="003C4E9C" w:rsidRDefault="003B51CC" w:rsidP="00BD44CD">
            <w:pPr>
              <w:rPr>
                <w:rFonts w:cs="Arial"/>
              </w:rPr>
            </w:pPr>
            <w:r w:rsidRPr="003C4E9C">
              <w:rPr>
                <w:rFonts w:cs="Arial"/>
              </w:rPr>
              <w:t>N</w:t>
            </w:r>
          </w:p>
        </w:tc>
        <w:tc>
          <w:tcPr>
            <w:tcW w:w="731" w:type="dxa"/>
            <w:shd w:val="clear" w:color="auto" w:fill="auto"/>
            <w:noWrap/>
          </w:tcPr>
          <w:p w:rsidR="003B51CC" w:rsidRPr="003C4E9C" w:rsidRDefault="003B51CC" w:rsidP="00BD44CD">
            <w:pPr>
              <w:rPr>
                <w:rFonts w:cs="Arial"/>
              </w:rPr>
            </w:pPr>
            <w:r>
              <w:rPr>
                <w:rFonts w:cs="Arial"/>
              </w:rPr>
              <w:t>03</w:t>
            </w:r>
            <w:r w:rsidRPr="003C4E9C">
              <w:rPr>
                <w:rFonts w:cs="Arial"/>
              </w:rPr>
              <w:t>°</w:t>
            </w:r>
          </w:p>
        </w:tc>
        <w:tc>
          <w:tcPr>
            <w:tcW w:w="1004" w:type="dxa"/>
            <w:shd w:val="clear" w:color="auto" w:fill="auto"/>
            <w:noWrap/>
          </w:tcPr>
          <w:p w:rsidR="003B51CC" w:rsidRPr="003C4E9C" w:rsidRDefault="003B51CC" w:rsidP="00BD44CD">
            <w:pPr>
              <w:rPr>
                <w:rFonts w:cs="Arial"/>
              </w:rPr>
            </w:pPr>
            <w:r>
              <w:rPr>
                <w:rFonts w:cs="Arial"/>
              </w:rPr>
              <w:t>11.011’</w:t>
            </w:r>
          </w:p>
        </w:tc>
        <w:tc>
          <w:tcPr>
            <w:tcW w:w="1177" w:type="dxa"/>
            <w:shd w:val="clear" w:color="auto" w:fill="auto"/>
            <w:noWrap/>
            <w:vAlign w:val="bottom"/>
          </w:tcPr>
          <w:p w:rsidR="003B51CC" w:rsidRPr="003C4E9C" w:rsidRDefault="003B51CC" w:rsidP="00BD44CD">
            <w:pPr>
              <w:rPr>
                <w:rFonts w:cs="Arial"/>
              </w:rPr>
            </w:pPr>
            <w:r w:rsidRPr="003C4E9C">
              <w:rPr>
                <w:rFonts w:cs="Arial"/>
              </w:rPr>
              <w:t>W</w:t>
            </w:r>
          </w:p>
        </w:tc>
      </w:tr>
    </w:tbl>
    <w:p w:rsidR="003B51CC" w:rsidRDefault="003B51CC" w:rsidP="003B51CC">
      <w:pPr>
        <w:jc w:val="both"/>
        <w:rPr>
          <w:rFonts w:cs="Arial"/>
        </w:rPr>
      </w:pPr>
      <w:r w:rsidRPr="003C4E9C">
        <w:rPr>
          <w:rFonts w:cs="Arial"/>
          <w:b/>
        </w:rPr>
        <w:tab/>
      </w:r>
      <w:r w:rsidRPr="003C4E9C">
        <w:rPr>
          <w:rFonts w:cs="Arial"/>
          <w:b/>
        </w:rPr>
        <w:tab/>
      </w:r>
      <w:r w:rsidRPr="003C4E9C">
        <w:rPr>
          <w:rFonts w:cs="Arial"/>
          <w:b/>
        </w:rPr>
        <w:tab/>
      </w:r>
      <w:r w:rsidRPr="003C4E9C">
        <w:rPr>
          <w:rFonts w:cs="Arial"/>
          <w:b/>
        </w:rPr>
        <w:tab/>
        <w:t xml:space="preserve">         </w:t>
      </w:r>
    </w:p>
    <w:p w:rsidR="003B51CC" w:rsidRDefault="003B51CC" w:rsidP="003B51CC">
      <w:pPr>
        <w:jc w:val="both"/>
        <w:rPr>
          <w:rFonts w:cs="Arial"/>
        </w:rPr>
      </w:pPr>
      <w:r w:rsidRPr="003C4E9C">
        <w:rPr>
          <w:rFonts w:cs="Arial"/>
        </w:rPr>
        <w:t xml:space="preserve">The proposed works are subject to an environmental impact assessment (“EIA”) under the above EIA Regulations. </w:t>
      </w:r>
    </w:p>
    <w:p w:rsidR="003B51CC" w:rsidRPr="003C4E9C" w:rsidRDefault="003B51CC" w:rsidP="003B51CC">
      <w:pPr>
        <w:jc w:val="both"/>
        <w:rPr>
          <w:rFonts w:cs="Arial"/>
          <w:b/>
        </w:rPr>
      </w:pPr>
    </w:p>
    <w:p w:rsidR="003B51CC" w:rsidRDefault="003B51CC" w:rsidP="003B51CC">
      <w:pPr>
        <w:jc w:val="both"/>
        <w:rPr>
          <w:rFonts w:cs="Arial"/>
        </w:rPr>
      </w:pPr>
      <w:r w:rsidRPr="003C4E9C">
        <w:rPr>
          <w:rFonts w:cs="Arial"/>
        </w:rPr>
        <w:t>The EIA Report can be viewed online</w:t>
      </w:r>
      <w:r w:rsidRPr="003C4E9C">
        <w:rPr>
          <w:rFonts w:cs="Arial"/>
          <w:i/>
        </w:rPr>
        <w:t xml:space="preserve"> at </w:t>
      </w:r>
      <w:hyperlink r:id="rId5" w:history="1">
        <w:r w:rsidRPr="00B114F5">
          <w:rPr>
            <w:rStyle w:val="Hyperlink"/>
          </w:rPr>
          <w:t>https://www.forthports.co.uk/port-of-leith-outer-berth-EIA-HRA/</w:t>
        </w:r>
      </w:hyperlink>
      <w:r>
        <w:rPr>
          <w:color w:val="000000"/>
        </w:rPr>
        <w:t xml:space="preserve"> </w:t>
      </w:r>
      <w:r w:rsidRPr="00340A94">
        <w:rPr>
          <w:rStyle w:val="Hyperlink"/>
          <w:rFonts w:cs="Arial"/>
        </w:rPr>
        <w:t>and</w:t>
      </w:r>
      <w:r w:rsidRPr="00340A94">
        <w:rPr>
          <w:rStyle w:val="Hyperlink"/>
          <w:rFonts w:cs="Arial"/>
          <w:i/>
        </w:rPr>
        <w:t xml:space="preserve"> </w:t>
      </w:r>
      <w:hyperlink r:id="rId6" w:history="1">
        <w:r w:rsidRPr="0013033A">
          <w:rPr>
            <w:rStyle w:val="Hyperlink"/>
            <w:rFonts w:cs="Arial"/>
          </w:rPr>
          <w:t>https://marine.gov.scot/ml/port-leith-outer-berth</w:t>
        </w:r>
      </w:hyperlink>
      <w:r w:rsidRPr="00340A94">
        <w:rPr>
          <w:rFonts w:cs="Arial"/>
          <w:i/>
        </w:rPr>
        <w:t>.</w:t>
      </w:r>
      <w:r w:rsidRPr="00340A94">
        <w:rPr>
          <w:rFonts w:cs="Arial"/>
          <w:b/>
        </w:rPr>
        <w:t xml:space="preserve"> </w:t>
      </w:r>
      <w:r w:rsidRPr="003C4E9C">
        <w:rPr>
          <w:rFonts w:cs="Arial"/>
        </w:rPr>
        <w:t xml:space="preserve">Copies of the EIA </w:t>
      </w:r>
      <w:r>
        <w:rPr>
          <w:rFonts w:cs="Arial"/>
        </w:rPr>
        <w:t xml:space="preserve">report can also be obtained from </w:t>
      </w:r>
      <w:proofErr w:type="spellStart"/>
      <w:r w:rsidRPr="00446AD5">
        <w:rPr>
          <w:rFonts w:cs="Arial"/>
        </w:rPr>
        <w:t>HaskoningDHV</w:t>
      </w:r>
      <w:proofErr w:type="spellEnd"/>
      <w:r w:rsidRPr="00446AD5">
        <w:rPr>
          <w:rFonts w:cs="Arial"/>
        </w:rPr>
        <w:t xml:space="preserve"> UK Ltd., 74/2 Commercial Quay, Leith, Edinburgh </w:t>
      </w:r>
      <w:proofErr w:type="spellStart"/>
      <w:r w:rsidRPr="00446AD5">
        <w:rPr>
          <w:rFonts w:cs="Arial"/>
        </w:rPr>
        <w:t>EH6</w:t>
      </w:r>
      <w:proofErr w:type="spellEnd"/>
      <w:r w:rsidRPr="00446AD5">
        <w:rPr>
          <w:rFonts w:cs="Arial"/>
        </w:rPr>
        <w:t xml:space="preserve"> </w:t>
      </w:r>
      <w:proofErr w:type="spellStart"/>
      <w:r w:rsidRPr="00446AD5">
        <w:rPr>
          <w:rFonts w:cs="Arial"/>
        </w:rPr>
        <w:t>6LX</w:t>
      </w:r>
      <w:proofErr w:type="spellEnd"/>
      <w:r w:rsidRPr="00446AD5">
        <w:rPr>
          <w:rFonts w:cs="Arial"/>
        </w:rPr>
        <w:t>, United Kingdom (</w:t>
      </w:r>
      <w:r>
        <w:rPr>
          <w:rFonts w:cs="Arial"/>
        </w:rPr>
        <w:t>e. mail</w:t>
      </w:r>
      <w:r w:rsidRPr="008F49BE">
        <w:rPr>
          <w:rFonts w:cs="Arial"/>
        </w:rPr>
        <w:t xml:space="preserve">: </w:t>
      </w:r>
      <w:r w:rsidRPr="008F49BE">
        <w:rPr>
          <w:rFonts w:cs="Arial"/>
          <w:b/>
          <w:bCs/>
        </w:rPr>
        <w:t>ritu.paliwal@rhdhv.com</w:t>
      </w:r>
      <w:r w:rsidRPr="00446AD5">
        <w:rPr>
          <w:rFonts w:cs="Arial"/>
        </w:rPr>
        <w:t xml:space="preserve"> at a charge of </w:t>
      </w:r>
      <w:r w:rsidRPr="00446AD5">
        <w:rPr>
          <w:rFonts w:cs="Arial"/>
          <w:b/>
        </w:rPr>
        <w:t>£150</w:t>
      </w:r>
      <w:r w:rsidRPr="00446AD5">
        <w:rPr>
          <w:rFonts w:cs="Arial"/>
        </w:rPr>
        <w:t xml:space="preserve"> for hard copy and </w:t>
      </w:r>
      <w:r w:rsidRPr="00446AD5">
        <w:rPr>
          <w:rFonts w:cs="Arial"/>
          <w:b/>
        </w:rPr>
        <w:t>£25</w:t>
      </w:r>
      <w:r w:rsidRPr="00446AD5">
        <w:rPr>
          <w:rFonts w:cs="Arial"/>
        </w:rPr>
        <w:t xml:space="preserve"> on </w:t>
      </w:r>
      <w:r w:rsidRPr="00446AD5">
        <w:rPr>
          <w:rFonts w:cs="Arial"/>
          <w:i/>
        </w:rPr>
        <w:t>USB stick</w:t>
      </w:r>
      <w:r w:rsidRPr="00446AD5">
        <w:rPr>
          <w:rFonts w:cs="Arial"/>
        </w:rPr>
        <w:t xml:space="preserve"> (including postage and packaging). Copies of a short non-technical summary are available free of charge.</w:t>
      </w:r>
      <w:r>
        <w:rPr>
          <w:rFonts w:cs="Arial"/>
        </w:rPr>
        <w:t xml:space="preserve"> </w:t>
      </w:r>
      <w:r w:rsidRPr="003C4E9C">
        <w:rPr>
          <w:rFonts w:cs="Arial"/>
        </w:rPr>
        <w:t xml:space="preserve"> </w:t>
      </w:r>
    </w:p>
    <w:p w:rsidR="003B51CC" w:rsidRDefault="003B51CC" w:rsidP="003B51CC">
      <w:pPr>
        <w:jc w:val="both"/>
        <w:rPr>
          <w:rFonts w:cs="Arial"/>
        </w:rPr>
      </w:pPr>
      <w:r>
        <w:rPr>
          <w:rFonts w:cs="Arial"/>
        </w:rPr>
        <w:t xml:space="preserve"> </w:t>
      </w:r>
      <w:r w:rsidRPr="003C4E9C">
        <w:rPr>
          <w:rFonts w:cs="Arial"/>
        </w:rPr>
        <w:t xml:space="preserve"> </w:t>
      </w:r>
    </w:p>
    <w:p w:rsidR="003B51CC" w:rsidRDefault="003B51CC" w:rsidP="003B51CC">
      <w:pPr>
        <w:jc w:val="both"/>
        <w:rPr>
          <w:rFonts w:cs="Arial"/>
        </w:rPr>
      </w:pPr>
    </w:p>
    <w:p w:rsidR="003B51CC" w:rsidRDefault="003B51CC" w:rsidP="003B51CC">
      <w:pPr>
        <w:jc w:val="both"/>
        <w:rPr>
          <w:rFonts w:cs="Arial"/>
        </w:rPr>
      </w:pPr>
      <w:r w:rsidRPr="003C4E9C">
        <w:rPr>
          <w:rFonts w:cs="Arial"/>
        </w:rPr>
        <w:t xml:space="preserve">Any representations should be made in writing to the consenting authority by email to: </w:t>
      </w:r>
      <w:hyperlink r:id="rId7" w:history="1">
        <w:r w:rsidRPr="003C4E9C">
          <w:rPr>
            <w:rStyle w:val="Hyperlink"/>
            <w:rFonts w:cs="Arial"/>
          </w:rPr>
          <w:t>ms.marinelicensing@gov.scot</w:t>
        </w:r>
      </w:hyperlink>
      <w:r w:rsidRPr="003C4E9C">
        <w:rPr>
          <w:rFonts w:cs="Arial"/>
        </w:rPr>
        <w:t xml:space="preserve"> or by post to The Scottish Government, Marine Scotland Licensing Operations Team, Marine Laboratory, 375 Victoria Road, Aberdeen, </w:t>
      </w:r>
      <w:proofErr w:type="spellStart"/>
      <w:r w:rsidRPr="003C4E9C">
        <w:rPr>
          <w:rFonts w:cs="Arial"/>
        </w:rPr>
        <w:t>AB11</w:t>
      </w:r>
      <w:proofErr w:type="spellEnd"/>
      <w:r w:rsidRPr="003C4E9C">
        <w:rPr>
          <w:rFonts w:cs="Arial"/>
        </w:rPr>
        <w:t xml:space="preserve"> </w:t>
      </w:r>
      <w:proofErr w:type="spellStart"/>
      <w:r w:rsidRPr="003C4E9C">
        <w:rPr>
          <w:rFonts w:cs="Arial"/>
        </w:rPr>
        <w:t>9DB</w:t>
      </w:r>
      <w:proofErr w:type="spellEnd"/>
      <w:r w:rsidRPr="003C4E9C">
        <w:rPr>
          <w:rFonts w:cs="Arial"/>
        </w:rPr>
        <w:t>, identifying the proposed works and specifying grounds for</w:t>
      </w:r>
      <w:r>
        <w:rPr>
          <w:rFonts w:cs="Arial"/>
        </w:rPr>
        <w:t xml:space="preserve"> </w:t>
      </w:r>
      <w:r w:rsidRPr="003C4E9C">
        <w:rPr>
          <w:rFonts w:cs="Arial"/>
        </w:rPr>
        <w:t>the representation, not later than</w:t>
      </w:r>
      <w:r w:rsidRPr="003C4E9C">
        <w:rPr>
          <w:rFonts w:cs="Arial"/>
          <w:b/>
        </w:rPr>
        <w:t xml:space="preserve"> </w:t>
      </w:r>
      <w:r w:rsidRPr="008F49BE">
        <w:rPr>
          <w:rFonts w:cs="Arial"/>
          <w:b/>
        </w:rPr>
        <w:t>30</w:t>
      </w:r>
      <w:r w:rsidRPr="008F49BE">
        <w:rPr>
          <w:rFonts w:cs="Arial"/>
          <w:b/>
          <w:vertAlign w:val="superscript"/>
        </w:rPr>
        <w:t>th</w:t>
      </w:r>
      <w:r w:rsidRPr="008F49BE">
        <w:rPr>
          <w:rFonts w:cs="Arial"/>
          <w:b/>
        </w:rPr>
        <w:t xml:space="preserve"> </w:t>
      </w:r>
      <w:r w:rsidRPr="008F49BE">
        <w:rPr>
          <w:rFonts w:cs="Arial"/>
          <w:b/>
        </w:rPr>
        <w:t>June 2022</w:t>
      </w:r>
      <w:r w:rsidRPr="003C4E9C">
        <w:rPr>
          <w:rFonts w:cs="Arial"/>
        </w:rPr>
        <w:t xml:space="preserve">. The Scottish Ministers may consider representations received after this date. Representations should be dated and clearly state the name (in block capitals) and the email or postal address of those making the representation.   </w:t>
      </w:r>
    </w:p>
    <w:p w:rsidR="003B51CC" w:rsidRPr="003C4E9C" w:rsidRDefault="003B51CC" w:rsidP="003B51CC">
      <w:pPr>
        <w:jc w:val="both"/>
        <w:rPr>
          <w:rFonts w:cs="Arial"/>
        </w:rPr>
      </w:pPr>
    </w:p>
    <w:p w:rsidR="003B51CC" w:rsidRPr="003C4E9C" w:rsidRDefault="003B51CC" w:rsidP="003B51CC">
      <w:pPr>
        <w:rPr>
          <w:rFonts w:cs="Arial"/>
        </w:rPr>
      </w:pPr>
      <w:r w:rsidRPr="003C4E9C">
        <w:rPr>
          <w:rFonts w:cs="Arial"/>
        </w:rPr>
        <w:t xml:space="preserve">Subsequent submission by </w:t>
      </w:r>
      <w:r w:rsidRPr="00745D1B">
        <w:rPr>
          <w:rFonts w:cs="Arial"/>
        </w:rPr>
        <w:t>Forth Port</w:t>
      </w:r>
      <w:r>
        <w:rPr>
          <w:rFonts w:cs="Arial"/>
        </w:rPr>
        <w:t xml:space="preserve">s Limited </w:t>
      </w:r>
      <w:r w:rsidRPr="003C4E9C">
        <w:rPr>
          <w:rFonts w:cs="Arial"/>
        </w:rPr>
        <w:t>of additional information (as defined in the above EIA Regulations) to the Scottish Ministers will be publicised in a similar manner to the current application including publication on the above websites. Representations relative to additional information should be made on the same basis as detailed above.</w:t>
      </w:r>
    </w:p>
    <w:p w:rsidR="003B51CC" w:rsidRPr="003C4E9C" w:rsidRDefault="003B51CC" w:rsidP="003B51CC">
      <w:pPr>
        <w:jc w:val="both"/>
        <w:rPr>
          <w:rFonts w:cs="Arial"/>
        </w:rPr>
      </w:pPr>
    </w:p>
    <w:p w:rsidR="003B51CC" w:rsidRPr="003C4E9C" w:rsidRDefault="003B51CC" w:rsidP="003B51CC">
      <w:pPr>
        <w:jc w:val="both"/>
        <w:rPr>
          <w:rFonts w:cs="Arial"/>
        </w:rPr>
      </w:pPr>
      <w:r w:rsidRPr="003C4E9C">
        <w:rPr>
          <w:rFonts w:cs="Arial"/>
        </w:rPr>
        <w:t>Having considered the application</w:t>
      </w:r>
      <w:r>
        <w:rPr>
          <w:rFonts w:cs="Arial"/>
        </w:rPr>
        <w:t>s</w:t>
      </w:r>
      <w:r w:rsidRPr="003C4E9C">
        <w:rPr>
          <w:rFonts w:cs="Arial"/>
        </w:rPr>
        <w:t xml:space="preserve"> and the above legislation together with any representations received the Scottish Ministers may:</w:t>
      </w:r>
    </w:p>
    <w:p w:rsidR="003B51CC" w:rsidRPr="003C4E9C" w:rsidRDefault="003B51CC" w:rsidP="003B51CC">
      <w:pPr>
        <w:jc w:val="both"/>
        <w:rPr>
          <w:rFonts w:cs="Arial"/>
        </w:rPr>
      </w:pPr>
    </w:p>
    <w:p w:rsidR="003B51CC" w:rsidRPr="003C4E9C" w:rsidRDefault="003B51CC" w:rsidP="003B51CC">
      <w:pPr>
        <w:pStyle w:val="ListParagraph"/>
        <w:numPr>
          <w:ilvl w:val="0"/>
          <w:numId w:val="1"/>
        </w:numPr>
        <w:jc w:val="both"/>
        <w:rPr>
          <w:rFonts w:ascii="Arial" w:hAnsi="Arial" w:cs="Arial"/>
          <w:sz w:val="24"/>
        </w:rPr>
      </w:pPr>
      <w:r w:rsidRPr="003C4E9C">
        <w:rPr>
          <w:rFonts w:ascii="Arial" w:hAnsi="Arial" w:cs="Arial"/>
          <w:sz w:val="24"/>
        </w:rPr>
        <w:t>grant marine licence</w:t>
      </w:r>
      <w:r>
        <w:rPr>
          <w:rFonts w:ascii="Arial" w:hAnsi="Arial" w:cs="Arial"/>
          <w:sz w:val="24"/>
        </w:rPr>
        <w:t>s</w:t>
      </w:r>
      <w:r w:rsidRPr="003C4E9C">
        <w:rPr>
          <w:rFonts w:ascii="Arial" w:hAnsi="Arial" w:cs="Arial"/>
          <w:sz w:val="24"/>
        </w:rPr>
        <w:t xml:space="preserve"> with or without conditions attached; or</w:t>
      </w:r>
    </w:p>
    <w:p w:rsidR="003B51CC" w:rsidRPr="003C4E9C" w:rsidRDefault="003B51CC" w:rsidP="003B51CC">
      <w:pPr>
        <w:pStyle w:val="ListParagraph"/>
        <w:numPr>
          <w:ilvl w:val="0"/>
          <w:numId w:val="1"/>
        </w:numPr>
        <w:jc w:val="both"/>
        <w:rPr>
          <w:rFonts w:ascii="Arial" w:hAnsi="Arial" w:cs="Arial"/>
          <w:sz w:val="24"/>
        </w:rPr>
      </w:pPr>
      <w:r w:rsidRPr="003C4E9C">
        <w:rPr>
          <w:rFonts w:ascii="Arial" w:hAnsi="Arial" w:cs="Arial"/>
          <w:sz w:val="24"/>
        </w:rPr>
        <w:t>refuse the application</w:t>
      </w:r>
    </w:p>
    <w:p w:rsidR="003B51CC" w:rsidRPr="003C4E9C" w:rsidRDefault="003B51CC" w:rsidP="003B51CC">
      <w:pPr>
        <w:jc w:val="both"/>
        <w:rPr>
          <w:rFonts w:cs="Arial"/>
          <w:u w:val="single"/>
        </w:rPr>
      </w:pPr>
      <w:r w:rsidRPr="003C4E9C">
        <w:rPr>
          <w:rFonts w:cs="Arial"/>
          <w:u w:val="single"/>
        </w:rPr>
        <w:t>Fair Processing Notice</w:t>
      </w:r>
    </w:p>
    <w:p w:rsidR="003B51CC" w:rsidRPr="003C4E9C" w:rsidRDefault="003B51CC" w:rsidP="003B51CC">
      <w:pPr>
        <w:jc w:val="both"/>
        <w:rPr>
          <w:rFonts w:cs="Arial"/>
        </w:rPr>
      </w:pPr>
    </w:p>
    <w:p w:rsidR="003B51CC" w:rsidRPr="003C4E9C" w:rsidRDefault="003B51CC" w:rsidP="003B51CC">
      <w:pPr>
        <w:jc w:val="both"/>
        <w:rPr>
          <w:rFonts w:cs="Arial"/>
        </w:rPr>
      </w:pPr>
      <w:r w:rsidRPr="003C4E9C">
        <w:rPr>
          <w:rFonts w:cs="Arial"/>
        </w:rPr>
        <w:t xml:space="preserve">The Scottish Government’s Marine Scotland - Licensing Operations Team (“MS-LOT”) </w:t>
      </w:r>
      <w:r>
        <w:rPr>
          <w:rFonts w:cs="Arial"/>
        </w:rPr>
        <w:t>determine</w:t>
      </w:r>
      <w:r w:rsidRPr="003C4E9C">
        <w:rPr>
          <w:rFonts w:cs="Arial"/>
        </w:rPr>
        <w:t xml:space="preserve"> applications </w:t>
      </w:r>
      <w:r>
        <w:rPr>
          <w:rFonts w:cs="Arial"/>
        </w:rPr>
        <w:t xml:space="preserve">for marine licences </w:t>
      </w:r>
      <w:r w:rsidRPr="003C4E9C">
        <w:rPr>
          <w:rFonts w:cs="Arial"/>
        </w:rPr>
        <w:t>under the Marine (Scotland) Act 2010. During the consultation process any person having an interest in the outcome of the application</w:t>
      </w:r>
      <w:r>
        <w:rPr>
          <w:rFonts w:cs="Arial"/>
        </w:rPr>
        <w:t>s</w:t>
      </w:r>
      <w:r w:rsidRPr="003C4E9C">
        <w:rPr>
          <w:rFonts w:cs="Arial"/>
        </w:rPr>
        <w:t xml:space="preserve"> may make a representation to MS-LOT. The representation may contain personal information, for example a name or address. This representation will only be used for the purpose of determining an application and will be stored securely in the Scottish Government’s official corporate record. Representations will be shared with the applicant and/or agent acting on behalf of the applicant, any people or organisations that we consult in relation to the application and, where necessary, be published online, however personal information will be removed before sharing or publishing.   </w:t>
      </w:r>
    </w:p>
    <w:p w:rsidR="003B51CC" w:rsidRPr="009C7974" w:rsidRDefault="003B51CC" w:rsidP="003B51CC">
      <w:pPr>
        <w:jc w:val="both"/>
        <w:rPr>
          <w:rFonts w:cs="Arial"/>
        </w:rPr>
      </w:pPr>
      <w:r w:rsidRPr="003C4E9C">
        <w:rPr>
          <w:rFonts w:cs="Arial"/>
        </w:rPr>
        <w:t>A full privacy notice can be found at:</w:t>
      </w:r>
      <w:r w:rsidRPr="003C4E9C">
        <w:t xml:space="preserve"> </w:t>
      </w:r>
      <w:hyperlink r:id="rId8" w:history="1">
        <w:r w:rsidRPr="003C4E9C">
          <w:rPr>
            <w:rStyle w:val="Hyperlink"/>
            <w:rFonts w:cs="Arial"/>
          </w:rPr>
          <w:t>https://www.gov.scot/policies/marine-and-fisheries-licensing/marine-licensing-operations-team-privacy-notice/</w:t>
        </w:r>
      </w:hyperlink>
      <w:r w:rsidRPr="003C4E9C">
        <w:rPr>
          <w:rStyle w:val="Hyperlink"/>
          <w:rFonts w:cs="Arial"/>
        </w:rPr>
        <w:t xml:space="preserve">. </w:t>
      </w:r>
      <w:r w:rsidRPr="003C4E9C">
        <w:rPr>
          <w:rFonts w:cs="Arial"/>
        </w:rPr>
        <w:t xml:space="preserve">If you are unable to access this, or you have any queries or concerns about how your personal data will be handled, contact MS-LOT by email at: </w:t>
      </w:r>
      <w:hyperlink r:id="rId9" w:history="1">
        <w:r w:rsidRPr="003C4E9C">
          <w:rPr>
            <w:rStyle w:val="Hyperlink"/>
            <w:rFonts w:cs="Arial"/>
            <w:b/>
          </w:rPr>
          <w:t>ms.marinelicensing@gov.scot</w:t>
        </w:r>
      </w:hyperlink>
      <w:r w:rsidRPr="003C4E9C">
        <w:rPr>
          <w:rFonts w:cs="Arial"/>
        </w:rPr>
        <w:t xml:space="preserve"> or by post to MS-LOT, Marine Laboratory, 375 Victoria Road, Aberdeen, </w:t>
      </w:r>
      <w:proofErr w:type="spellStart"/>
      <w:r w:rsidRPr="003C4E9C">
        <w:rPr>
          <w:rFonts w:cs="Arial"/>
        </w:rPr>
        <w:t>AB11</w:t>
      </w:r>
      <w:proofErr w:type="spellEnd"/>
      <w:r w:rsidRPr="003C4E9C">
        <w:rPr>
          <w:rFonts w:cs="Arial"/>
        </w:rPr>
        <w:t xml:space="preserve"> </w:t>
      </w:r>
      <w:proofErr w:type="spellStart"/>
      <w:r w:rsidRPr="003C4E9C">
        <w:rPr>
          <w:rFonts w:cs="Arial"/>
        </w:rPr>
        <w:t>9DB</w:t>
      </w:r>
      <w:proofErr w:type="spellEnd"/>
      <w:r w:rsidRPr="003C4E9C">
        <w:rPr>
          <w:rFonts w:cs="Arial"/>
        </w:rPr>
        <w:t>.</w:t>
      </w:r>
    </w:p>
    <w:p w:rsidR="003B51CC" w:rsidRPr="002E5E34" w:rsidRDefault="003B51CC" w:rsidP="003B51CC"/>
    <w:p w:rsidR="00FD5F9A" w:rsidRDefault="00FD5F9A">
      <w:bookmarkStart w:id="0" w:name="_GoBack"/>
      <w:bookmarkEnd w:id="0"/>
    </w:p>
    <w:sectPr w:rsidR="00FD5F9A" w:rsidSect="001C3BF6">
      <w:headerReference w:type="default" r:id="rId10"/>
      <w:footerReference w:type="default" r:id="rId11"/>
      <w:pgSz w:w="11909" w:h="16834" w:code="9"/>
      <w:pgMar w:top="709" w:right="907" w:bottom="1138" w:left="1138" w:header="426" w:footer="1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Investor In People Logo">
    <w:altName w:val="Symbol"/>
    <w:panose1 w:val="05000000000000000000"/>
    <w:charset w:val="02"/>
    <w:family w:val="auto"/>
    <w:pitch w:val="variable"/>
    <w:sig w:usb0="00000000" w:usb1="10000000" w:usb2="00000000" w:usb3="00000000" w:csb0="80000000" w:csb1="00000000"/>
  </w:font>
  <w:font w:name="Positive About Disabled People">
    <w:altName w:val="Symbol"/>
    <w:panose1 w:val="05000000000000000000"/>
    <w:charset w:val="02"/>
    <w:family w:val="auto"/>
    <w:pitch w:val="variable"/>
    <w:sig w:usb0="00000000" w:usb1="10000000" w:usb2="00000000" w:usb3="00000000" w:csb0="80000000" w:csb1="00000000"/>
  </w:font>
  <w:font w:name="Recycled Symbol">
    <w:altName w:val="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2" w:type="pct"/>
      <w:tblInd w:w="108" w:type="dxa"/>
      <w:tblLook w:val="01E0" w:firstRow="1" w:lastRow="1" w:firstColumn="1" w:lastColumn="1" w:noHBand="0" w:noVBand="0"/>
    </w:tblPr>
    <w:tblGrid>
      <w:gridCol w:w="5962"/>
      <w:gridCol w:w="3748"/>
    </w:tblGrid>
    <w:tr w:rsidR="00F411B2" w:rsidRPr="00E112CA" w:rsidTr="00F14A26">
      <w:tc>
        <w:tcPr>
          <w:tcW w:w="3070" w:type="pct"/>
          <w:shd w:val="clear" w:color="auto" w:fill="auto"/>
        </w:tcPr>
        <w:p w:rsidR="00F411B2" w:rsidRPr="00F14A26" w:rsidRDefault="003B51CC" w:rsidP="00F14A26">
          <w:pPr>
            <w:tabs>
              <w:tab w:val="clear" w:pos="720"/>
              <w:tab w:val="clear" w:pos="1440"/>
              <w:tab w:val="clear" w:pos="2160"/>
              <w:tab w:val="clear" w:pos="2880"/>
            </w:tabs>
            <w:spacing w:line="240" w:lineRule="exact"/>
            <w:rPr>
              <w:rFonts w:ascii="Clan-News" w:hAnsi="Clan-News" w:cs="Arial"/>
              <w:spacing w:val="-2"/>
              <w:sz w:val="19"/>
              <w:szCs w:val="19"/>
            </w:rPr>
          </w:pPr>
          <w:r w:rsidRPr="00F14A26">
            <w:rPr>
              <w:rFonts w:ascii="Clan-News" w:hAnsi="Clan-News"/>
              <w:spacing w:val="-2"/>
              <w:sz w:val="19"/>
              <w:szCs w:val="19"/>
            </w:rPr>
            <w:t>M</w:t>
          </w:r>
          <w:r>
            <w:rPr>
              <w:rFonts w:ascii="Clan-News" w:hAnsi="Clan-News"/>
              <w:spacing w:val="-2"/>
              <w:sz w:val="19"/>
              <w:szCs w:val="19"/>
            </w:rPr>
            <w:t xml:space="preserve">arine Laboratory, </w:t>
          </w:r>
          <w:r w:rsidRPr="00F14A26">
            <w:rPr>
              <w:rFonts w:ascii="Clan-News" w:hAnsi="Clan-News"/>
              <w:spacing w:val="-2"/>
              <w:sz w:val="19"/>
              <w:szCs w:val="19"/>
            </w:rPr>
            <w:t>375 Victoria Road,</w:t>
          </w:r>
          <w:r>
            <w:rPr>
              <w:rFonts w:ascii="Clan-News" w:hAnsi="Clan-News"/>
              <w:spacing w:val="-2"/>
              <w:sz w:val="19"/>
              <w:szCs w:val="19"/>
            </w:rPr>
            <w:t xml:space="preserve"> </w:t>
          </w:r>
          <w:r w:rsidRPr="00F14A26">
            <w:rPr>
              <w:rFonts w:ascii="Clan-News" w:hAnsi="Clan-News"/>
              <w:spacing w:val="-2"/>
              <w:sz w:val="19"/>
              <w:szCs w:val="19"/>
            </w:rPr>
            <w:t>Aberdeen</w:t>
          </w:r>
          <w:r>
            <w:rPr>
              <w:rFonts w:ascii="Clan-News" w:hAnsi="Clan-News"/>
              <w:spacing w:val="-2"/>
              <w:sz w:val="19"/>
              <w:szCs w:val="19"/>
            </w:rPr>
            <w:t>,</w:t>
          </w:r>
          <w:r w:rsidRPr="00F14A26">
            <w:rPr>
              <w:rFonts w:ascii="Clan-News" w:hAnsi="Clan-News"/>
              <w:spacing w:val="-2"/>
              <w:sz w:val="19"/>
              <w:szCs w:val="19"/>
            </w:rPr>
            <w:t xml:space="preserve"> </w:t>
          </w:r>
          <w:proofErr w:type="spellStart"/>
          <w:r w:rsidRPr="00F14A26">
            <w:rPr>
              <w:rFonts w:ascii="Clan-News" w:hAnsi="Clan-News"/>
              <w:spacing w:val="-2"/>
              <w:sz w:val="19"/>
              <w:szCs w:val="19"/>
            </w:rPr>
            <w:t>AB11</w:t>
          </w:r>
          <w:proofErr w:type="spellEnd"/>
          <w:r w:rsidRPr="00F14A26">
            <w:rPr>
              <w:rFonts w:ascii="Clan-News" w:hAnsi="Clan-News"/>
              <w:spacing w:val="-2"/>
              <w:sz w:val="19"/>
              <w:szCs w:val="19"/>
            </w:rPr>
            <w:t xml:space="preserve"> </w:t>
          </w:r>
          <w:proofErr w:type="spellStart"/>
          <w:r w:rsidRPr="00F14A26">
            <w:rPr>
              <w:rFonts w:ascii="Clan-News" w:hAnsi="Clan-News"/>
              <w:spacing w:val="-2"/>
              <w:sz w:val="19"/>
              <w:szCs w:val="19"/>
            </w:rPr>
            <w:t>9DB</w:t>
          </w:r>
          <w:proofErr w:type="spellEnd"/>
        </w:p>
        <w:p w:rsidR="00F411B2" w:rsidRPr="00F14A26" w:rsidRDefault="003B51CC" w:rsidP="00F14A26">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D6470F">
            <w:rPr>
              <w:rFonts w:ascii="Clan-News" w:hAnsi="Clan-News" w:cs="Arial"/>
              <w:spacing w:val="-2"/>
              <w:sz w:val="19"/>
              <w:szCs w:val="19"/>
            </w:rPr>
            <w:t>http://www.gov.scot/Topics/marine/Licensing/marine</w:t>
          </w:r>
        </w:p>
      </w:tc>
      <w:tc>
        <w:tcPr>
          <w:tcW w:w="1930" w:type="pct"/>
          <w:shd w:val="clear" w:color="auto" w:fill="auto"/>
        </w:tcPr>
        <w:p w:rsidR="00F411B2" w:rsidRPr="00F14A26" w:rsidRDefault="003B51CC" w:rsidP="00F14A26">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F14A26">
            <w:rPr>
              <w:rFonts w:ascii="Investor In People Logo" w:hAnsi="Investor In People Logo"/>
              <w:sz w:val="60"/>
            </w:rPr>
            <w:t></w:t>
          </w:r>
          <w:r w:rsidRPr="00F14A26">
            <w:rPr>
              <w:rFonts w:ascii="Investor In People Logo" w:hAnsi="Investor In People Logo"/>
              <w:sz w:val="60"/>
            </w:rPr>
            <w:t></w:t>
          </w:r>
          <w:r w:rsidRPr="00F14A26">
            <w:rPr>
              <w:rFonts w:ascii="Investor In People Logo" w:hAnsi="Investor In People Logo"/>
              <w:sz w:val="60"/>
            </w:rPr>
            <w:t></w:t>
          </w:r>
          <w:r w:rsidRPr="00F14A26">
            <w:rPr>
              <w:rFonts w:ascii="Investor In People Logo" w:hAnsi="Investor In People Logo"/>
              <w:sz w:val="60"/>
            </w:rPr>
            <w:t></w:t>
          </w:r>
          <w:r w:rsidRPr="00F14A26">
            <w:rPr>
              <w:rFonts w:ascii="Investor In People Logo" w:hAnsi="Investor In People Logo"/>
              <w:sz w:val="60"/>
            </w:rPr>
            <w:t></w:t>
          </w:r>
          <w:r w:rsidRPr="00F14A26">
            <w:rPr>
              <w:rFonts w:ascii="Investor In People Logo" w:hAnsi="Investor In People Logo"/>
              <w:sz w:val="60"/>
            </w:rPr>
            <w:t></w:t>
          </w:r>
          <w:r w:rsidRPr="00F14A26">
            <w:rPr>
              <w:rFonts w:ascii="Positive About Disabled People" w:hAnsi="Positive About Disabled People"/>
              <w:sz w:val="56"/>
            </w:rPr>
            <w:t></w:t>
          </w:r>
          <w:r w:rsidRPr="00F14A26">
            <w:rPr>
              <w:rFonts w:ascii="Positive About Disabled People" w:hAnsi="Positive About Disabled People"/>
              <w:sz w:val="56"/>
            </w:rPr>
            <w:t></w:t>
          </w:r>
          <w:r w:rsidRPr="00F14A26">
            <w:rPr>
              <w:rFonts w:ascii="Positive About Disabled People" w:hAnsi="Positive About Disabled People"/>
              <w:sz w:val="56"/>
            </w:rPr>
            <w:t></w:t>
          </w:r>
          <w:r w:rsidRPr="00F14A26">
            <w:rPr>
              <w:rFonts w:ascii="Investor In People Logo" w:hAnsi="Investor In People Logo"/>
              <w:sz w:val="60"/>
            </w:rPr>
            <w:t></w:t>
          </w:r>
          <w:r w:rsidRPr="00F14A26">
            <w:rPr>
              <w:rFonts w:ascii="Recycled Symbol" w:hAnsi="Recycled Symbol"/>
              <w:sz w:val="32"/>
            </w:rPr>
            <w:t></w:t>
          </w:r>
          <w:r w:rsidRPr="00E112CA">
            <w:t xml:space="preserve"> </w:t>
          </w:r>
        </w:p>
      </w:tc>
    </w:tr>
  </w:tbl>
  <w:p w:rsidR="00F411B2" w:rsidRPr="0020228B" w:rsidRDefault="003B51CC" w:rsidP="00E83C7C">
    <w:pPr>
      <w:pStyle w:val="Footer"/>
      <w:tabs>
        <w:tab w:val="clear" w:pos="720"/>
        <w:tab w:val="clear" w:pos="1440"/>
        <w:tab w:val="clear" w:pos="2160"/>
        <w:tab w:val="clear" w:pos="2880"/>
        <w:tab w:val="clear" w:pos="4320"/>
        <w:tab w:val="clear" w:pos="8640"/>
      </w:tabs>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B2" w:rsidRPr="00375C3E" w:rsidRDefault="003B51CC" w:rsidP="00375C3E">
    <w:pPr>
      <w:pStyle w:val="Header"/>
      <w:tabs>
        <w:tab w:val="clear" w:pos="9907"/>
        <w:tab w:val="right" w:pos="9356"/>
      </w:tabs>
      <w:ind w:right="5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B5985"/>
    <w:multiLevelType w:val="hybridMultilevel"/>
    <w:tmpl w:val="E33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C"/>
    <w:rsid w:val="003B51CC"/>
    <w:rsid w:val="00FD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27DD-28F3-4661-9ABD-A202F57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CC"/>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CC"/>
    <w:pPr>
      <w:tabs>
        <w:tab w:val="center" w:pos="4320"/>
        <w:tab w:val="right" w:pos="8640"/>
      </w:tabs>
    </w:pPr>
  </w:style>
  <w:style w:type="character" w:customStyle="1" w:styleId="HeaderChar">
    <w:name w:val="Header Char"/>
    <w:basedOn w:val="DefaultParagraphFont"/>
    <w:link w:val="Header"/>
    <w:rsid w:val="003B51CC"/>
    <w:rPr>
      <w:rFonts w:ascii="Arial" w:eastAsia="Times New Roman" w:hAnsi="Arial" w:cs="Times New Roman"/>
      <w:sz w:val="24"/>
      <w:szCs w:val="24"/>
      <w:lang w:eastAsia="en-GB"/>
    </w:rPr>
  </w:style>
  <w:style w:type="paragraph" w:styleId="Footer">
    <w:name w:val="footer"/>
    <w:basedOn w:val="Normal"/>
    <w:link w:val="FooterChar"/>
    <w:rsid w:val="003B51CC"/>
    <w:pPr>
      <w:tabs>
        <w:tab w:val="center" w:pos="4320"/>
        <w:tab w:val="right" w:pos="8640"/>
      </w:tabs>
    </w:pPr>
  </w:style>
  <w:style w:type="character" w:customStyle="1" w:styleId="FooterChar">
    <w:name w:val="Footer Char"/>
    <w:basedOn w:val="DefaultParagraphFont"/>
    <w:link w:val="Footer"/>
    <w:rsid w:val="003B51CC"/>
    <w:rPr>
      <w:rFonts w:ascii="Arial" w:eastAsia="Times New Roman" w:hAnsi="Arial" w:cs="Times New Roman"/>
      <w:sz w:val="24"/>
      <w:szCs w:val="24"/>
      <w:lang w:eastAsia="en-GB"/>
    </w:rPr>
  </w:style>
  <w:style w:type="character" w:styleId="Hyperlink">
    <w:name w:val="Hyperlink"/>
    <w:rsid w:val="003B51CC"/>
    <w:rPr>
      <w:color w:val="0000FF"/>
      <w:u w:val="single"/>
    </w:rPr>
  </w:style>
  <w:style w:type="paragraph" w:styleId="ListParagraph">
    <w:name w:val="List Paragraph"/>
    <w:basedOn w:val="Normal"/>
    <w:uiPriority w:val="34"/>
    <w:qFormat/>
    <w:rsid w:val="003B51CC"/>
    <w:pPr>
      <w:tabs>
        <w:tab w:val="clear" w:pos="720"/>
        <w:tab w:val="clear" w:pos="1440"/>
        <w:tab w:val="clear" w:pos="2160"/>
        <w:tab w:val="clear" w:pos="2880"/>
        <w:tab w:val="clear" w:pos="9907"/>
      </w:tabs>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marine-and-fisheries-licensing/marine-licensing-operations-team-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marinelicensing@gov.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ne.gov.scot/ml/port-leith-outer-berth" TargetMode="External"/><Relationship Id="rId11" Type="http://schemas.openxmlformats.org/officeDocument/2006/relationships/footer" Target="footer1.xml"/><Relationship Id="rId5" Type="http://schemas.openxmlformats.org/officeDocument/2006/relationships/hyperlink" Target="https://www.forthports.co.uk/port-of-leith-outer-berth-EIA-HR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marinelicensing@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Horrill J (Judith)</dc:creator>
  <cp:keywords/>
  <dc:description/>
  <cp:lastModifiedBy>Horrill J (Judith)</cp:lastModifiedBy>
  <cp:revision>1</cp:revision>
  <dcterms:created xsi:type="dcterms:W3CDTF">2022-05-24T12:56:00Z</dcterms:created>
  <dcterms:modified xsi:type="dcterms:W3CDTF">2022-05-24T12:57:00Z</dcterms:modified>
</cp:coreProperties>
</file>